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D" w:rsidRDefault="007F21FD" w:rsidP="00321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1FD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29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F21FD" w:rsidRPr="007F21FD" w:rsidRDefault="007F21FD" w:rsidP="007F21FD">
      <w:pPr>
        <w:pStyle w:val="a5"/>
        <w:contextualSpacing/>
        <w:rPr>
          <w:b/>
          <w:bCs/>
          <w:sz w:val="28"/>
          <w:szCs w:val="28"/>
        </w:rPr>
      </w:pPr>
      <w:r w:rsidRPr="007F21FD">
        <w:rPr>
          <w:b/>
          <w:bCs/>
          <w:sz w:val="28"/>
          <w:szCs w:val="28"/>
        </w:rPr>
        <w:t>ДЕПАРТАМЕНТ ГОСУДАРСТВЕННОГО РЕГУЛИРОВАНИЯ                                  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  <w:sz w:val="26"/>
          <w:szCs w:val="26"/>
        </w:rPr>
      </w:pPr>
      <w:r w:rsidRPr="00C23491">
        <w:rPr>
          <w:b/>
          <w:bCs/>
          <w:sz w:val="26"/>
          <w:szCs w:val="26"/>
        </w:rPr>
        <w:t xml:space="preserve">                                                             </w:t>
      </w:r>
    </w:p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>
        <w:rPr>
          <w:rFonts w:ascii="Times New Roman" w:hAnsi="Times New Roman"/>
          <w:sz w:val="26"/>
          <w:szCs w:val="26"/>
        </w:rPr>
        <w:t>12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октября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23491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52</w:t>
      </w:r>
    </w:p>
    <w:p w:rsidR="007F21FD" w:rsidRPr="00C23491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7F21FD" w:rsidRPr="00C23491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Костромской области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7F21FD" w:rsidRPr="00875423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F21FD" w:rsidRDefault="007F21FD" w:rsidP="007F21F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7F21FD" w:rsidTr="00141DE9">
        <w:tc>
          <w:tcPr>
            <w:tcW w:w="7231" w:type="dxa"/>
          </w:tcPr>
          <w:p w:rsidR="007F21FD" w:rsidRPr="00D57AD7" w:rsidRDefault="007F21FD" w:rsidP="00D57AD7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7F21FD" w:rsidRPr="00D57AD7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П.Л. Осипов</w:t>
            </w:r>
          </w:p>
        </w:tc>
      </w:tr>
      <w:tr w:rsidR="007F21FD" w:rsidTr="00141DE9">
        <w:tc>
          <w:tcPr>
            <w:tcW w:w="7231" w:type="dxa"/>
          </w:tcPr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3">
              <w:rPr>
                <w:rFonts w:ascii="Times New Roman" w:hAnsi="Times New Roman"/>
                <w:sz w:val="24"/>
                <w:szCs w:val="24"/>
              </w:rPr>
              <w:t>Секретарь правления – 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Мокина</w:t>
            </w:r>
          </w:p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Соловьёва</w:t>
            </w:r>
          </w:p>
        </w:tc>
      </w:tr>
      <w:tr w:rsidR="007F21FD" w:rsidTr="00141DE9">
        <w:tc>
          <w:tcPr>
            <w:tcW w:w="7231" w:type="dxa"/>
          </w:tcPr>
          <w:p w:rsidR="007F21FD" w:rsidRDefault="007F21FD" w:rsidP="007F21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7371"/>
        <w:gridCol w:w="2274"/>
      </w:tblGrid>
      <w:tr w:rsidR="007F21FD" w:rsidTr="00141DE9">
        <w:trPr>
          <w:trHeight w:val="84"/>
        </w:trPr>
        <w:tc>
          <w:tcPr>
            <w:tcW w:w="7371" w:type="dxa"/>
          </w:tcPr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регулирования в электроэнергетике департамента государственного регулирования цен и тарифов Костромской области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центральной диспетчерской службы АО «Газпром газораспределение Кострома»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7F21FD" w:rsidRDefault="007F21FD" w:rsidP="007F21FD">
            <w:pPr>
              <w:tabs>
                <w:tab w:val="left" w:pos="2977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Э.С. Смирнова</w:t>
            </w:r>
          </w:p>
          <w:p w:rsidR="007F21FD" w:rsidRDefault="007F21FD" w:rsidP="007F21FD">
            <w:pPr>
              <w:tabs>
                <w:tab w:val="left" w:pos="2977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7F21FD">
            <w:pPr>
              <w:tabs>
                <w:tab w:val="left" w:pos="2977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Орлов</w:t>
            </w:r>
          </w:p>
          <w:p w:rsidR="007F21FD" w:rsidRDefault="007F21FD" w:rsidP="007F21FD">
            <w:pPr>
              <w:tabs>
                <w:tab w:val="left" w:pos="2977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Вопрос 1: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КО)».</w:t>
      </w:r>
    </w:p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AD7" w:rsidRDefault="00D57AD7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AD7" w:rsidRPr="00593C2B" w:rsidRDefault="00D57AD7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lastRenderedPageBreak/>
        <w:t>СЛУШАЛИ:</w:t>
      </w:r>
    </w:p>
    <w:p w:rsidR="007F21FD" w:rsidRPr="00593C2B" w:rsidRDefault="007F21FD" w:rsidP="007F21FD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Pr="00593C2B">
        <w:rPr>
          <w:rFonts w:ascii="Times New Roman" w:hAnsi="Times New Roman"/>
          <w:sz w:val="24"/>
          <w:szCs w:val="24"/>
        </w:rPr>
        <w:t xml:space="preserve">отдела финансов, проверок и контроля департамента государственного регулирования цен и тарифов Костромской области по рассматриваемым вопросам правления </w:t>
      </w:r>
      <w:r>
        <w:rPr>
          <w:rFonts w:ascii="Times New Roman" w:hAnsi="Times New Roman"/>
          <w:sz w:val="24"/>
          <w:szCs w:val="24"/>
        </w:rPr>
        <w:t>Соловьёву Е.С.</w:t>
      </w:r>
      <w:r w:rsidRPr="00593C2B">
        <w:rPr>
          <w:rFonts w:ascii="Times New Roman" w:hAnsi="Times New Roman"/>
          <w:sz w:val="24"/>
          <w:szCs w:val="24"/>
        </w:rPr>
        <w:t xml:space="preserve"> 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Осипов П.Л.</w:t>
      </w:r>
      <w:r w:rsidRPr="00593C2B">
        <w:rPr>
          <w:rFonts w:ascii="Times New Roman" w:hAnsi="Times New Roman"/>
          <w:sz w:val="24"/>
          <w:szCs w:val="24"/>
        </w:rPr>
        <w:t xml:space="preserve"> – Принять повестку.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F21FD" w:rsidRDefault="007F21FD" w:rsidP="007F21F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КО.</w:t>
      </w:r>
    </w:p>
    <w:p w:rsidR="007F21FD" w:rsidRPr="007F21FD" w:rsidRDefault="007F21FD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6304A" w:rsidRDefault="007F21FD" w:rsidP="007F2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2: </w:t>
      </w:r>
      <w:r w:rsidR="00AF6C34" w:rsidRPr="007F21FD">
        <w:rPr>
          <w:rFonts w:ascii="Times New Roman" w:hAnsi="Times New Roman" w:cs="Times New Roman"/>
          <w:b/>
          <w:sz w:val="24"/>
          <w:szCs w:val="24"/>
        </w:rPr>
        <w:t>«</w:t>
      </w:r>
      <w:r w:rsidR="00321093" w:rsidRPr="007F21FD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плановых значений </w:t>
      </w:r>
      <w:r w:rsidR="00321093" w:rsidRPr="007F21FD">
        <w:rPr>
          <w:rFonts w:ascii="Times New Roman" w:eastAsia="Times New Roman" w:hAnsi="Times New Roman" w:cs="Times New Roman"/>
          <w:bCs/>
          <w:sz w:val="24"/>
          <w:szCs w:val="24"/>
        </w:rPr>
        <w:t>показателей надежности и качества услуг по транспортировке газа по газораспределительным сетям акционерного общества «Газпром газораспределение Кострома»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F21FD" w:rsidRPr="007F21FD" w:rsidRDefault="007F21FD" w:rsidP="007F2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304A" w:rsidRPr="001534C0" w:rsidRDefault="00C6304A" w:rsidP="007F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C6304A" w:rsidRPr="001534C0" w:rsidRDefault="00C6304A" w:rsidP="007F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 w:rsidR="001534C0" w:rsidRPr="001534C0">
        <w:rPr>
          <w:rFonts w:ascii="Times New Roman" w:hAnsi="Times New Roman" w:cs="Times New Roman"/>
          <w:sz w:val="24"/>
          <w:szCs w:val="24"/>
        </w:rPr>
        <w:t>Смирнову Э.С.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>, сообщившего по рассматриваемому вопросу следующее.</w:t>
      </w:r>
    </w:p>
    <w:p w:rsidR="00321093" w:rsidRDefault="009E2E27" w:rsidP="007F21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Акционерное общество «Газпром газораспределение Кострома» (далее -                 АО «Газпром газораспределение Кострома») </w:t>
      </w:r>
      <w:r w:rsidR="00C6304A" w:rsidRPr="001534C0">
        <w:rPr>
          <w:rFonts w:ascii="Times New Roman" w:hAnsi="Times New Roman" w:cs="Times New Roman"/>
          <w:sz w:val="24"/>
          <w:szCs w:val="24"/>
        </w:rPr>
        <w:t>направил</w:t>
      </w:r>
      <w:r w:rsidR="00321093">
        <w:rPr>
          <w:rFonts w:ascii="Times New Roman" w:hAnsi="Times New Roman" w:cs="Times New Roman"/>
          <w:sz w:val="24"/>
          <w:szCs w:val="24"/>
        </w:rPr>
        <w:t>о</w:t>
      </w:r>
      <w:r w:rsidR="00CB0A00" w:rsidRPr="001534C0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1534C0">
        <w:rPr>
          <w:rFonts w:ascii="Times New Roman" w:hAnsi="Times New Roman" w:cs="Times New Roman"/>
          <w:sz w:val="24"/>
          <w:szCs w:val="24"/>
        </w:rPr>
        <w:t>ДГРЦ и</w:t>
      </w:r>
      <w:proofErr w:type="gramStart"/>
      <w:r w:rsidR="001534C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1534C0">
        <w:rPr>
          <w:rFonts w:ascii="Times New Roman" w:hAnsi="Times New Roman" w:cs="Times New Roman"/>
          <w:sz w:val="24"/>
          <w:szCs w:val="24"/>
        </w:rPr>
        <w:t xml:space="preserve"> КО</w:t>
      </w:r>
      <w:r w:rsidR="00CB0A00" w:rsidRPr="001534C0">
        <w:rPr>
          <w:rFonts w:ascii="Times New Roman" w:hAnsi="Times New Roman" w:cs="Times New Roman"/>
          <w:sz w:val="24"/>
          <w:szCs w:val="24"/>
        </w:rPr>
        <w:t xml:space="preserve"> заявление с расчетными материалами </w:t>
      </w:r>
      <w:r w:rsidR="00321093">
        <w:rPr>
          <w:rFonts w:ascii="Times New Roman" w:hAnsi="Times New Roman" w:cs="Times New Roman"/>
          <w:sz w:val="24"/>
          <w:szCs w:val="24"/>
        </w:rPr>
        <w:t>для определения плановых значений показателей надежности и качества услуг по транспортировке газа по газораспределительным сетям (от 30.06.2015 №АТ-22/2252).</w:t>
      </w:r>
    </w:p>
    <w:p w:rsidR="001534C0" w:rsidRPr="001534C0" w:rsidRDefault="004F2FAC" w:rsidP="007F21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надежности и качества определяются органами исполнительной власти в области государственного регулирования цен (тарифов) в соответствии </w:t>
      </w:r>
      <w:r w:rsidR="001534C0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Федерации:</w:t>
      </w:r>
    </w:p>
    <w:p w:rsidR="00D66855" w:rsidRPr="001534C0" w:rsidRDefault="00D66855" w:rsidP="007F21FD">
      <w:pPr>
        <w:pStyle w:val="a3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4C0">
        <w:rPr>
          <w:rFonts w:ascii="Times New Roman" w:hAnsi="Times New Roman" w:cs="Times New Roman"/>
          <w:sz w:val="24"/>
          <w:szCs w:val="24"/>
        </w:rPr>
        <w:t>1) Федеральны</w:t>
      </w:r>
      <w:r w:rsidR="00D87806" w:rsidRPr="001534C0">
        <w:rPr>
          <w:rFonts w:ascii="Times New Roman" w:hAnsi="Times New Roman" w:cs="Times New Roman"/>
          <w:sz w:val="24"/>
          <w:szCs w:val="24"/>
        </w:rPr>
        <w:t>й закон</w:t>
      </w:r>
      <w:r w:rsidRPr="001534C0">
        <w:rPr>
          <w:rFonts w:ascii="Times New Roman" w:hAnsi="Times New Roman" w:cs="Times New Roman"/>
          <w:sz w:val="24"/>
          <w:szCs w:val="24"/>
        </w:rPr>
        <w:t xml:space="preserve"> от 31 марта 1999 года № 69-ФЗ «О газоснабжении в Российской Федерации»</w:t>
      </w:r>
      <w:r w:rsidR="002B38F0" w:rsidRPr="001534C0">
        <w:rPr>
          <w:rFonts w:ascii="Times New Roman" w:hAnsi="Times New Roman" w:cs="Times New Roman"/>
          <w:sz w:val="24"/>
          <w:szCs w:val="24"/>
        </w:rPr>
        <w:t>;</w:t>
      </w:r>
    </w:p>
    <w:p w:rsidR="00D66855" w:rsidRDefault="00D66855" w:rsidP="007F21FD">
      <w:pPr>
        <w:pStyle w:val="a3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AC">
        <w:rPr>
          <w:rFonts w:ascii="Times New Roman" w:hAnsi="Times New Roman" w:cs="Times New Roman"/>
          <w:sz w:val="24"/>
          <w:szCs w:val="24"/>
        </w:rPr>
        <w:t xml:space="preserve">2) </w:t>
      </w:r>
      <w:r w:rsidR="004F2FAC" w:rsidRPr="004F2FAC">
        <w:rPr>
          <w:rFonts w:ascii="Times New Roman" w:hAnsi="Times New Roman" w:cs="Times New Roman"/>
          <w:sz w:val="24"/>
          <w:szCs w:val="24"/>
        </w:rPr>
        <w:t>постановление</w:t>
      </w:r>
      <w:r w:rsidR="004F2FAC" w:rsidRPr="004F2FAC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18 октября 2014 года </w:t>
      </w:r>
      <w:r w:rsidR="004F2FAC">
        <w:rPr>
          <w:rFonts w:ascii="Times New Roman" w:hAnsi="Times New Roman" w:cs="Times New Roman"/>
          <w:sz w:val="24"/>
          <w:szCs w:val="24"/>
        </w:rPr>
        <w:t xml:space="preserve">    </w:t>
      </w:r>
      <w:r w:rsidR="004F2FAC" w:rsidRPr="004F2FAC">
        <w:rPr>
          <w:rFonts w:ascii="Times New Roman" w:eastAsia="Times New Roman" w:hAnsi="Times New Roman" w:cs="Times New Roman"/>
          <w:sz w:val="24"/>
          <w:szCs w:val="24"/>
        </w:rPr>
        <w:t>№ 1074 «О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г. № 1021»</w:t>
      </w:r>
      <w:r w:rsidR="004F2FAC">
        <w:rPr>
          <w:rFonts w:ascii="Times New Roman" w:hAnsi="Times New Roman" w:cs="Times New Roman"/>
          <w:sz w:val="24"/>
          <w:szCs w:val="24"/>
        </w:rPr>
        <w:t>;</w:t>
      </w:r>
    </w:p>
    <w:p w:rsidR="004F2FAC" w:rsidRDefault="004F2FAC" w:rsidP="007F21FD">
      <w:pPr>
        <w:pStyle w:val="ConsPlusNormal"/>
        <w:ind w:firstLine="709"/>
        <w:jc w:val="both"/>
      </w:pPr>
      <w:r w:rsidRPr="004F2FAC">
        <w:t xml:space="preserve">3) </w:t>
      </w:r>
      <w:r w:rsidR="009E2E27">
        <w:t>п</w:t>
      </w:r>
      <w:r w:rsidRPr="004F2FAC">
        <w:t>риказ Минэне</w:t>
      </w:r>
      <w:r>
        <w:t>рго России от 15.12.2014 № 926 «</w:t>
      </w:r>
      <w:r w:rsidRPr="004F2FAC">
        <w:t>Об утверждении Методики расчета плановых и фактических показателей надежности и качества услуг по транспортировке газа</w:t>
      </w:r>
      <w:r>
        <w:t xml:space="preserve"> по газораспределительным сетям».</w:t>
      </w:r>
    </w:p>
    <w:p w:rsidR="0044538D" w:rsidRDefault="00D57AD7" w:rsidP="007F21FD">
      <w:pPr>
        <w:pStyle w:val="ConsPlusNormal"/>
        <w:ind w:firstLine="709"/>
        <w:jc w:val="both"/>
      </w:pPr>
      <w:r>
        <w:t>П</w:t>
      </w:r>
      <w:r w:rsidR="004F2FAC">
        <w:t xml:space="preserve">лановые показатели надежности и качества услуг </w:t>
      </w:r>
      <w:r>
        <w:t xml:space="preserve">на 2016 год </w:t>
      </w:r>
      <w:r w:rsidR="004F2FAC">
        <w:t>устанавливаются равными среднему значению фактических показателей надежности и качества услуг по данным за 3 предыдущих года</w:t>
      </w:r>
      <w:r w:rsidR="009E2E27">
        <w:t xml:space="preserve">. Исходные </w:t>
      </w:r>
      <w:r w:rsidR="0048371B">
        <w:t xml:space="preserve">расчетные </w:t>
      </w:r>
      <w:r w:rsidR="009E2E27">
        <w:t>данные представлены в таблице №1:</w:t>
      </w:r>
    </w:p>
    <w:p w:rsidR="00D57AD7" w:rsidRDefault="00D57AD7" w:rsidP="007F21FD">
      <w:pPr>
        <w:pStyle w:val="ConsPlusNormal"/>
        <w:ind w:firstLine="709"/>
        <w:jc w:val="both"/>
      </w:pPr>
    </w:p>
    <w:p w:rsidR="0044538D" w:rsidRDefault="0044538D" w:rsidP="0044538D">
      <w:pPr>
        <w:pStyle w:val="ConsPlusNormal"/>
        <w:ind w:firstLine="540"/>
        <w:jc w:val="right"/>
      </w:pPr>
      <w:r>
        <w:t>Таблица №1</w:t>
      </w:r>
    </w:p>
    <w:tbl>
      <w:tblPr>
        <w:tblW w:w="9371" w:type="dxa"/>
        <w:tblInd w:w="93" w:type="dxa"/>
        <w:tblLayout w:type="fixed"/>
        <w:tblLook w:val="04A0"/>
      </w:tblPr>
      <w:tblGrid>
        <w:gridCol w:w="434"/>
        <w:gridCol w:w="2842"/>
        <w:gridCol w:w="708"/>
        <w:gridCol w:w="567"/>
        <w:gridCol w:w="1134"/>
        <w:gridCol w:w="1134"/>
        <w:gridCol w:w="1276"/>
        <w:gridCol w:w="1276"/>
      </w:tblGrid>
      <w:tr w:rsidR="0044538D" w:rsidRPr="0044538D" w:rsidTr="009E2E27">
        <w:trPr>
          <w:trHeight w:val="300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9E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Обозначение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СРЕДНЕЕ</w:t>
            </w:r>
          </w:p>
        </w:tc>
      </w:tr>
      <w:tr w:rsidR="0044538D" w:rsidRPr="0044538D" w:rsidTr="0044538D">
        <w:trPr>
          <w:trHeight w:val="315"/>
        </w:trPr>
        <w:tc>
          <w:tcPr>
            <w:tcW w:w="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538D" w:rsidRPr="0044538D" w:rsidTr="0044538D">
        <w:trPr>
          <w:trHeight w:val="91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прекращений и ограничений транспортировки газа в i-ой точке подключения потребителей услуг к газораспределительной сети, в том числе собственников (нанимателей) жилых помещений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  <w:proofErr w:type="gramEnd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ПР,i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10,33</w:t>
            </w:r>
          </w:p>
        </w:tc>
      </w:tr>
      <w:tr w:rsidR="0044538D" w:rsidRPr="0044538D" w:rsidTr="0044538D">
        <w:trPr>
          <w:trHeight w:val="46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Среднемесячное количество точек подключения потребителей услуг к газораспределительным сетям в течение периода регулирования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  <w:proofErr w:type="gramEnd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ПУ,i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276,083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287,14</w:t>
            </w:r>
          </w:p>
        </w:tc>
      </w:tr>
      <w:tr w:rsidR="0044538D" w:rsidRPr="0044538D" w:rsidTr="0044538D">
        <w:trPr>
          <w:trHeight w:val="114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Продолжительность прекращений и ограничений транспортировки газа в течение периода регулирования в i-ой точке подключения потребителей услуг к газораспределительной сети, в том числе собственников (нанимателей) жилых помещений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ПР,i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172,33</w:t>
            </w:r>
          </w:p>
        </w:tc>
      </w:tr>
      <w:tr w:rsidR="0044538D" w:rsidRPr="0044538D" w:rsidTr="0044538D">
        <w:trPr>
          <w:trHeight w:val="11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продолжительность оказания услуг в течение периода регулирования в i-ой точке подключения в соответствии с договорами, заключенными между газораспределительной организацией и потребителями газа, на оказание услуг по транспортировке газа по газораспределительным сетям.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ПУ,i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8768,00</w:t>
            </w:r>
          </w:p>
        </w:tc>
      </w:tr>
      <w:tr w:rsidR="0044538D" w:rsidRPr="0044538D" w:rsidTr="0044538D">
        <w:trPr>
          <w:trHeight w:val="1140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недопоставленного газа в течение периода регулирования в результате прекращений и ограничений транспортировки газа в i-ой точке подключения потребителей услуг к газораспределительной сети, в том числе собственников (нанимателей) жилых помещений в многоквартирных домах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</w:t>
            </w:r>
            <w:proofErr w:type="gramEnd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ПР,i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4538D" w:rsidRPr="0044538D" w:rsidTr="0044538D">
        <w:trPr>
          <w:trHeight w:val="91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газа, поставляемого по газораспределительным сетям в i-ой точке подключения, определяется в соответствии с договорами, заключенными между газораспределительной организацией и потребителями газа, на поставку газа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</w:t>
            </w: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4602949,612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4564468,154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4880983,024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4682800,26</w:t>
            </w:r>
          </w:p>
        </w:tc>
      </w:tr>
      <w:tr w:rsidR="0044538D" w:rsidRPr="0044538D" w:rsidTr="0044538D">
        <w:trPr>
          <w:trHeight w:val="114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обращений потребителей услуг в течение периода регулирования по поводу отклонения давления в i-ой точке подключения потребителей услуг к сети газораспределения от величины, заявленной газораспределительной организацией в технических условиях на подключение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  <w:proofErr w:type="gramEnd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Д,i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4538D" w:rsidRPr="0044538D" w:rsidTr="0044538D">
        <w:trPr>
          <w:trHeight w:val="915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38D" w:rsidRPr="0044538D" w:rsidRDefault="0044538D" w:rsidP="0044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обращений потребителей услуг в течение периода регулирования по поводу несоответствия физико-химических характеристик газа в i-ой точке подключения потребителя услуг к газораспределительной сети установленным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  <w:proofErr w:type="gramEnd"/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ФХ,i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8D" w:rsidRPr="0044538D" w:rsidRDefault="0044538D" w:rsidP="004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45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44538D" w:rsidRDefault="0044538D" w:rsidP="007F21FD">
      <w:pPr>
        <w:pStyle w:val="ConsPlusNormal"/>
        <w:ind w:firstLine="540"/>
        <w:jc w:val="both"/>
      </w:pPr>
      <w:r w:rsidRPr="0044538D">
        <w:t>В результате предлагается установить следующие плановые показатели надежности и качества</w:t>
      </w:r>
      <w:r w:rsidR="0048371B">
        <w:t xml:space="preserve"> оказываемых услуг</w:t>
      </w:r>
      <w:r w:rsidRPr="0044538D">
        <w:t xml:space="preserve"> на 2016 год и</w:t>
      </w:r>
      <w:r w:rsidR="009E2E27">
        <w:t xml:space="preserve"> на</w:t>
      </w:r>
      <w:r w:rsidRPr="0044538D">
        <w:t xml:space="preserve"> плановый период 2017-2018 годов</w:t>
      </w:r>
      <w:r>
        <w:t xml:space="preserve"> (таблица №2)</w:t>
      </w:r>
      <w:r w:rsidRPr="0044538D">
        <w:t>:</w:t>
      </w:r>
    </w:p>
    <w:p w:rsidR="0044538D" w:rsidRPr="0044538D" w:rsidRDefault="0044538D" w:rsidP="0044538D">
      <w:pPr>
        <w:pStyle w:val="ConsPlusNormal"/>
        <w:ind w:firstLine="540"/>
        <w:jc w:val="right"/>
      </w:pPr>
      <w:r>
        <w:t>Таблица №2</w:t>
      </w:r>
    </w:p>
    <w:tbl>
      <w:tblPr>
        <w:tblpPr w:leftFromText="180" w:rightFromText="180" w:vertAnchor="text" w:horzAnchor="margin" w:tblpX="108" w:tblpY="4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0"/>
        <w:gridCol w:w="1276"/>
        <w:gridCol w:w="1417"/>
        <w:gridCol w:w="1243"/>
      </w:tblGrid>
      <w:tr w:rsidR="0044538D" w:rsidRPr="0044538D" w:rsidTr="0044538D">
        <w:tc>
          <w:tcPr>
            <w:tcW w:w="5420" w:type="dxa"/>
            <w:vAlign w:val="center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538D">
              <w:rPr>
                <w:rFonts w:ascii="Times New Roman" w:eastAsia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538D">
              <w:rPr>
                <w:rFonts w:ascii="Times New Roman" w:eastAsia="Times New Roman" w:hAnsi="Times New Roman" w:cs="Times New Roman"/>
                <w:szCs w:val="28"/>
              </w:rPr>
              <w:t>2016</w:t>
            </w:r>
          </w:p>
        </w:tc>
        <w:tc>
          <w:tcPr>
            <w:tcW w:w="1417" w:type="dxa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538D">
              <w:rPr>
                <w:rFonts w:ascii="Times New Roman" w:eastAsia="Times New Roman" w:hAnsi="Times New Roman" w:cs="Times New Roman"/>
                <w:szCs w:val="28"/>
              </w:rPr>
              <w:t xml:space="preserve">2017 </w:t>
            </w:r>
          </w:p>
        </w:tc>
        <w:tc>
          <w:tcPr>
            <w:tcW w:w="1243" w:type="dxa"/>
          </w:tcPr>
          <w:p w:rsidR="0044538D" w:rsidRPr="0044538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538D">
              <w:rPr>
                <w:rFonts w:ascii="Times New Roman" w:eastAsia="Times New Roman" w:hAnsi="Times New Roman" w:cs="Times New Roman"/>
                <w:szCs w:val="28"/>
              </w:rPr>
              <w:t>2018</w:t>
            </w:r>
          </w:p>
        </w:tc>
      </w:tr>
      <w:tr w:rsidR="0044538D" w:rsidRPr="007F21FD" w:rsidTr="0044538D">
        <w:trPr>
          <w:trHeight w:val="177"/>
        </w:trPr>
        <w:tc>
          <w:tcPr>
            <w:tcW w:w="5420" w:type="dxa"/>
            <w:vAlign w:val="center"/>
          </w:tcPr>
          <w:p w:rsidR="0044538D" w:rsidRPr="007F21FD" w:rsidRDefault="0044538D" w:rsidP="0044538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показатель надежности оказываемых услуг</w:t>
            </w:r>
          </w:p>
        </w:tc>
        <w:tc>
          <w:tcPr>
            <w:tcW w:w="1276" w:type="dxa"/>
            <w:vAlign w:val="center"/>
          </w:tcPr>
          <w:p w:rsidR="0044538D" w:rsidRPr="007F21F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0,9692</w:t>
            </w:r>
          </w:p>
        </w:tc>
        <w:tc>
          <w:tcPr>
            <w:tcW w:w="1417" w:type="dxa"/>
            <w:vAlign w:val="center"/>
          </w:tcPr>
          <w:p w:rsidR="0044538D" w:rsidRPr="007F21F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0,9702</w:t>
            </w:r>
          </w:p>
        </w:tc>
        <w:tc>
          <w:tcPr>
            <w:tcW w:w="1243" w:type="dxa"/>
            <w:vAlign w:val="center"/>
          </w:tcPr>
          <w:p w:rsidR="0044538D" w:rsidRPr="007F21F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0,9712</w:t>
            </w:r>
          </w:p>
        </w:tc>
      </w:tr>
      <w:tr w:rsidR="0044538D" w:rsidRPr="007F21FD" w:rsidTr="0044538D">
        <w:tc>
          <w:tcPr>
            <w:tcW w:w="5420" w:type="dxa"/>
            <w:vAlign w:val="center"/>
          </w:tcPr>
          <w:p w:rsidR="0044538D" w:rsidRPr="007F21FD" w:rsidRDefault="0044538D" w:rsidP="00445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показатель качества</w:t>
            </w:r>
            <w:r w:rsidR="0048371B"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оказываемых </w:t>
            </w: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276" w:type="dxa"/>
            <w:vAlign w:val="center"/>
          </w:tcPr>
          <w:p w:rsidR="0044538D" w:rsidRPr="007F21F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4538D" w:rsidRPr="007F21F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44538D" w:rsidRPr="007F21F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538D" w:rsidRPr="007F21FD" w:rsidTr="0044538D">
        <w:tc>
          <w:tcPr>
            <w:tcW w:w="5420" w:type="dxa"/>
            <w:vAlign w:val="center"/>
          </w:tcPr>
          <w:p w:rsidR="0044538D" w:rsidRPr="007F21FD" w:rsidRDefault="0044538D" w:rsidP="0044538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Обобщенный плановый показатель надежности и качества оказываемых услуг</w:t>
            </w:r>
          </w:p>
        </w:tc>
        <w:tc>
          <w:tcPr>
            <w:tcW w:w="1276" w:type="dxa"/>
            <w:vAlign w:val="center"/>
          </w:tcPr>
          <w:p w:rsidR="0044538D" w:rsidRPr="007F21F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0,9784</w:t>
            </w:r>
          </w:p>
        </w:tc>
        <w:tc>
          <w:tcPr>
            <w:tcW w:w="1417" w:type="dxa"/>
            <w:vAlign w:val="center"/>
          </w:tcPr>
          <w:p w:rsidR="0044538D" w:rsidRPr="007F21F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0,9791</w:t>
            </w:r>
          </w:p>
        </w:tc>
        <w:tc>
          <w:tcPr>
            <w:tcW w:w="1243" w:type="dxa"/>
            <w:vAlign w:val="center"/>
          </w:tcPr>
          <w:p w:rsidR="0044538D" w:rsidRPr="007F21FD" w:rsidRDefault="0044538D" w:rsidP="00445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FD">
              <w:rPr>
                <w:rFonts w:ascii="Times New Roman" w:eastAsia="Times New Roman" w:hAnsi="Times New Roman" w:cs="Times New Roman"/>
                <w:sz w:val="20"/>
                <w:szCs w:val="20"/>
              </w:rPr>
              <w:t>0,9798</w:t>
            </w:r>
          </w:p>
        </w:tc>
      </w:tr>
    </w:tbl>
    <w:p w:rsidR="0054178C" w:rsidRPr="004C4CA0" w:rsidRDefault="0054178C" w:rsidP="0054178C">
      <w:pPr>
        <w:pStyle w:val="a3"/>
        <w:tabs>
          <w:tab w:val="left" w:pos="993"/>
        </w:tabs>
        <w:spacing w:after="0"/>
        <w:ind w:left="0" w:firstLine="567"/>
        <w:jc w:val="right"/>
        <w:rPr>
          <w:rFonts w:ascii="Times New Roman" w:hAnsi="Times New Roman" w:cs="Times New Roman"/>
          <w:sz w:val="10"/>
          <w:szCs w:val="10"/>
        </w:rPr>
      </w:pPr>
    </w:p>
    <w:p w:rsidR="0044538D" w:rsidRPr="009C0C29" w:rsidRDefault="007F4261" w:rsidP="007F21F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 w:rsidR="007F21FD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 xml:space="preserve"> Повестки</w:t>
      </w:r>
      <w:r w:rsidR="009E2E27">
        <w:rPr>
          <w:rFonts w:ascii="Times New Roman" w:hAnsi="Times New Roman"/>
          <w:sz w:val="24"/>
          <w:szCs w:val="24"/>
        </w:rPr>
        <w:t>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 w:rsidR="00F75136">
        <w:rPr>
          <w:rFonts w:ascii="Times New Roman" w:hAnsi="Times New Roman"/>
          <w:sz w:val="24"/>
          <w:szCs w:val="24"/>
        </w:rPr>
        <w:t xml:space="preserve"> предложение уполномоченного по делу Э.С. Смирновой</w:t>
      </w:r>
      <w:r w:rsidRPr="009C0C29">
        <w:rPr>
          <w:rFonts w:ascii="Times New Roman" w:hAnsi="Times New Roman"/>
          <w:sz w:val="24"/>
          <w:szCs w:val="24"/>
        </w:rPr>
        <w:t xml:space="preserve">. </w:t>
      </w:r>
    </w:p>
    <w:p w:rsidR="007F4261" w:rsidRDefault="007F4261" w:rsidP="007F21FD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Осипов П.Л.</w:t>
      </w:r>
      <w:r w:rsidRPr="009C0C29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</w:t>
      </w:r>
      <w:r w:rsidR="00DE395B">
        <w:rPr>
          <w:rFonts w:ascii="Times New Roman" w:eastAsia="Times New Roman" w:hAnsi="Times New Roman" w:cs="Times New Roman"/>
          <w:sz w:val="24"/>
          <w:szCs w:val="24"/>
        </w:rPr>
        <w:t xml:space="preserve"> Э.С. Смирновой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CA0" w:rsidRDefault="004C4CA0" w:rsidP="004C4CA0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95B" w:rsidRDefault="00DE395B" w:rsidP="007F21FD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44538D" w:rsidRPr="0044538D" w:rsidRDefault="0044538D" w:rsidP="0044538D">
      <w:pPr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538D">
        <w:rPr>
          <w:rFonts w:ascii="Times New Roman" w:eastAsia="Times New Roman" w:hAnsi="Times New Roman" w:cs="Times New Roman"/>
          <w:sz w:val="24"/>
          <w:szCs w:val="24"/>
        </w:rPr>
        <w:t xml:space="preserve">Установить плановые значения </w:t>
      </w:r>
      <w:r w:rsidRPr="0044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показателей надежности и качества услуг по транспортировке газа по газораспределительным сетям </w:t>
      </w:r>
      <w:r>
        <w:rPr>
          <w:rFonts w:ascii="Times New Roman" w:hAnsi="Times New Roman" w:cs="Times New Roman"/>
          <w:bCs/>
          <w:sz w:val="24"/>
          <w:szCs w:val="24"/>
        </w:rPr>
        <w:t xml:space="preserve">АО </w:t>
      </w:r>
      <w:r w:rsidRPr="0044538D">
        <w:rPr>
          <w:rFonts w:ascii="Times New Roman" w:eastAsia="Times New Roman" w:hAnsi="Times New Roman" w:cs="Times New Roman"/>
          <w:bCs/>
          <w:sz w:val="24"/>
          <w:szCs w:val="24"/>
        </w:rPr>
        <w:t xml:space="preserve">«Газпром газораспределение Кострома» </w:t>
      </w:r>
      <w:r w:rsidRPr="0044538D">
        <w:rPr>
          <w:rFonts w:ascii="Times New Roman" w:eastAsia="Times New Roman" w:hAnsi="Times New Roman" w:cs="Times New Roman"/>
          <w:sz w:val="24"/>
          <w:szCs w:val="24"/>
        </w:rPr>
        <w:t>на 2016 – 2018 годы.</w:t>
      </w:r>
    </w:p>
    <w:p w:rsidR="0044538D" w:rsidRPr="007F21FD" w:rsidRDefault="0044538D" w:rsidP="0044538D">
      <w:pPr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4538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подлежит официальному опубликованию и вступает в силу с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538D">
        <w:rPr>
          <w:rFonts w:ascii="Times New Roman" w:eastAsia="Times New Roman" w:hAnsi="Times New Roman" w:cs="Times New Roman"/>
          <w:sz w:val="24"/>
          <w:szCs w:val="24"/>
        </w:rPr>
        <w:t xml:space="preserve">1 января 2016 года. </w:t>
      </w:r>
    </w:p>
    <w:p w:rsid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1FD" w:rsidRP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1FD" w:rsidRPr="00593C2B" w:rsidRDefault="007F21FD" w:rsidP="007F21F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правления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Е.С. Соловьёва</w:t>
      </w:r>
    </w:p>
    <w:p w:rsidR="007F21FD" w:rsidRPr="00593C2B" w:rsidRDefault="007F21FD" w:rsidP="007F21F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93C2B">
        <w:rPr>
          <w:rFonts w:ascii="Times New Roman" w:hAnsi="Times New Roman"/>
          <w:snapToGrid w:val="0"/>
          <w:sz w:val="24"/>
          <w:szCs w:val="24"/>
        </w:rPr>
        <w:t xml:space="preserve">«12» </w:t>
      </w:r>
      <w:r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октября</w:t>
      </w:r>
      <w:r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 </w:t>
      </w:r>
      <w:r w:rsidRPr="00593C2B">
        <w:rPr>
          <w:rFonts w:ascii="Times New Roman" w:hAnsi="Times New Roman"/>
          <w:snapToGrid w:val="0"/>
          <w:sz w:val="24"/>
          <w:szCs w:val="24"/>
        </w:rPr>
        <w:t>2015</w:t>
      </w:r>
    </w:p>
    <w:p w:rsidR="0044538D" w:rsidRDefault="0044538D" w:rsidP="004C4CA0">
      <w:pPr>
        <w:tabs>
          <w:tab w:val="left" w:pos="2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4538D" w:rsidSect="007F2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A00"/>
    <w:rsid w:val="00037436"/>
    <w:rsid w:val="00093C19"/>
    <w:rsid w:val="001534C0"/>
    <w:rsid w:val="00163D26"/>
    <w:rsid w:val="001A0740"/>
    <w:rsid w:val="001A52C2"/>
    <w:rsid w:val="001B1CA0"/>
    <w:rsid w:val="001E1E24"/>
    <w:rsid w:val="002B38F0"/>
    <w:rsid w:val="002E50A6"/>
    <w:rsid w:val="00315DD7"/>
    <w:rsid w:val="00321093"/>
    <w:rsid w:val="00366CD3"/>
    <w:rsid w:val="00393E57"/>
    <w:rsid w:val="0044538D"/>
    <w:rsid w:val="0048371B"/>
    <w:rsid w:val="004C4CA0"/>
    <w:rsid w:val="004D203D"/>
    <w:rsid w:val="004E72DA"/>
    <w:rsid w:val="004F2FAC"/>
    <w:rsid w:val="0054178C"/>
    <w:rsid w:val="00551480"/>
    <w:rsid w:val="00551D2A"/>
    <w:rsid w:val="005667FA"/>
    <w:rsid w:val="005748BE"/>
    <w:rsid w:val="005864C4"/>
    <w:rsid w:val="005A6423"/>
    <w:rsid w:val="005B0F30"/>
    <w:rsid w:val="005D75AF"/>
    <w:rsid w:val="00635743"/>
    <w:rsid w:val="00645FDF"/>
    <w:rsid w:val="00647D5E"/>
    <w:rsid w:val="00774F04"/>
    <w:rsid w:val="007F21FD"/>
    <w:rsid w:val="007F4261"/>
    <w:rsid w:val="007F549C"/>
    <w:rsid w:val="00811522"/>
    <w:rsid w:val="00837242"/>
    <w:rsid w:val="008467FB"/>
    <w:rsid w:val="00847DD7"/>
    <w:rsid w:val="008A4DE6"/>
    <w:rsid w:val="008D2E76"/>
    <w:rsid w:val="00927EF8"/>
    <w:rsid w:val="009C1F9C"/>
    <w:rsid w:val="009D1F75"/>
    <w:rsid w:val="009E2E27"/>
    <w:rsid w:val="00A81D55"/>
    <w:rsid w:val="00AC35BE"/>
    <w:rsid w:val="00AF27B8"/>
    <w:rsid w:val="00AF6C34"/>
    <w:rsid w:val="00B66721"/>
    <w:rsid w:val="00BA09A9"/>
    <w:rsid w:val="00BE081C"/>
    <w:rsid w:val="00C4656B"/>
    <w:rsid w:val="00C6304A"/>
    <w:rsid w:val="00CB0A00"/>
    <w:rsid w:val="00CF38F1"/>
    <w:rsid w:val="00D10C8F"/>
    <w:rsid w:val="00D57AD7"/>
    <w:rsid w:val="00D65A5D"/>
    <w:rsid w:val="00D66855"/>
    <w:rsid w:val="00D87806"/>
    <w:rsid w:val="00DD6B9A"/>
    <w:rsid w:val="00DE395B"/>
    <w:rsid w:val="00E21765"/>
    <w:rsid w:val="00E300D1"/>
    <w:rsid w:val="00F154E6"/>
    <w:rsid w:val="00F16AE7"/>
    <w:rsid w:val="00F31504"/>
    <w:rsid w:val="00F65162"/>
    <w:rsid w:val="00F7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F"/>
  </w:style>
  <w:style w:type="paragraph" w:styleId="5">
    <w:name w:val="heading 5"/>
    <w:basedOn w:val="a"/>
    <w:next w:val="a"/>
    <w:link w:val="50"/>
    <w:qFormat/>
    <w:rsid w:val="007F21FD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F"/>
    <w:pPr>
      <w:ind w:left="720"/>
      <w:contextualSpacing/>
    </w:pPr>
  </w:style>
  <w:style w:type="table" w:styleId="a4">
    <w:name w:val="Table Grid"/>
    <w:basedOn w:val="a1"/>
    <w:uiPriority w:val="59"/>
    <w:rsid w:val="005B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7F549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7F4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F2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F21FD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F21F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ПЭС</cp:lastModifiedBy>
  <cp:revision>19</cp:revision>
  <cp:lastPrinted>2015-10-15T11:42:00Z</cp:lastPrinted>
  <dcterms:created xsi:type="dcterms:W3CDTF">2014-12-08T08:41:00Z</dcterms:created>
  <dcterms:modified xsi:type="dcterms:W3CDTF">2015-10-15T11:43:00Z</dcterms:modified>
</cp:coreProperties>
</file>